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line="360" w:lineRule="auto"/>
        <w:widowControl w:val="off"/>
        <w:rPr>
          <w:sz w:val="24"/>
          <w:szCs w:val="24"/>
        </w:rPr>
      </w:pPr>
      <w:r>
        <w:rPr>
          <w:sz w:val="20"/>
          <w:szCs w:val="24"/>
        </w:rPr>
        <w:t xml:space="preserve">                                                                                                                 </w:t>
      </w:r>
      <w:r>
        <w:rPr>
          <w:sz w:val="22"/>
          <w:szCs w:val="22"/>
        </w:rPr>
        <w:t xml:space="preserve">  </w:t>
      </w:r>
      <w:r>
        <w:rPr>
          <w:sz w:val="24"/>
          <w:szCs w:val="24"/>
        </w:rPr>
        <w:t xml:space="preserve">Приложение № 19</w:t>
      </w:r>
      <w:bookmarkStart w:id="0" w:name="_GoBack"/>
      <w:r/>
      <w:bookmarkEnd w:id="0"/>
      <w:r/>
      <w:r/>
    </w:p>
    <w:p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№_________</w:t>
      </w:r>
      <w:r/>
    </w:p>
    <w:p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5103"/>
        <w:jc w:val="right"/>
        <w:rPr>
          <w:sz w:val="22"/>
          <w:szCs w:val="22"/>
        </w:rPr>
      </w:pPr>
      <w:r>
        <w:rPr>
          <w:sz w:val="24"/>
          <w:szCs w:val="24"/>
        </w:rPr>
        <w:t xml:space="preserve">от «___»__________20___ г.</w:t>
      </w:r>
      <w:r/>
    </w:p>
    <w:p>
      <w:pPr>
        <w:jc w:val="both"/>
      </w:pPr>
      <w:r/>
      <w:r/>
    </w:p>
    <w:p>
      <w:pPr>
        <w:ind w:firstLine="708"/>
        <w:jc w:val="center"/>
        <w:spacing w:line="26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</w:t>
      </w:r>
      <w:r/>
    </w:p>
    <w:p>
      <w:pPr>
        <w:ind w:firstLine="708"/>
        <w:jc w:val="center"/>
        <w:spacing w:line="26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реконструкции объектов Группы РусГидро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Документ определяет порядок взаимодей</w:t>
      </w:r>
      <w:r>
        <w:rPr>
          <w:sz w:val="24"/>
          <w:szCs w:val="24"/>
        </w:rPr>
        <w:t xml:space="preserve">ствия заказчика (филиалы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или подконтрольные организации</w:t>
      </w:r>
      <w:r>
        <w:rPr>
          <w:rStyle w:val="951"/>
          <w:sz w:val="24"/>
          <w:szCs w:val="24"/>
        </w:rPr>
        <w:footnoteReference w:id="2"/>
      </w:r>
      <w:r>
        <w:rPr>
          <w:sz w:val="24"/>
          <w:szCs w:val="24"/>
        </w:rPr>
        <w:t xml:space="preserve"> Группы РусГидро), технического заказчика (агент или иная организация, действующая на основании агентского договора, заключенного с заказчиком), подрядчика (генеральный подрядчик или иная подрядная о</w:t>
      </w:r>
      <w:r>
        <w:rPr>
          <w:sz w:val="24"/>
          <w:szCs w:val="24"/>
        </w:rPr>
        <w:t xml:space="preserve">рганизация, действующая в качестве лица, осуществляющего строительство на основании договора подряда, заключенного с заказчиком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или с техническим заказчиком)</w:t>
      </w:r>
      <w:r>
        <w:rPr>
          <w:rStyle w:val="951"/>
          <w:sz w:val="24"/>
          <w:szCs w:val="24"/>
        </w:rPr>
        <w:footnoteReference w:id="3"/>
      </w:r>
      <w:r>
        <w:rPr>
          <w:sz w:val="24"/>
          <w:szCs w:val="24"/>
        </w:rPr>
        <w:t xml:space="preserve"> при согласовании и приемке исполнительной документации</w:t>
      </w:r>
      <w:r>
        <w:rPr>
          <w:rStyle w:val="951"/>
          <w:sz w:val="24"/>
          <w:szCs w:val="24"/>
        </w:rPr>
        <w:footnoteReference w:id="4"/>
      </w:r>
      <w:r>
        <w:rPr>
          <w:sz w:val="24"/>
          <w:szCs w:val="24"/>
        </w:rPr>
        <w:t xml:space="preserve"> в ходе реализации инвестиционных проекто</w:t>
      </w:r>
      <w:r>
        <w:rPr>
          <w:sz w:val="24"/>
          <w:szCs w:val="24"/>
        </w:rPr>
        <w:t xml:space="preserve">в строительства, технического перевооружения и реконструкции объектов Группы РусГидро.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Приемка у Подрядчика выполненных работ с оформлением и подписанием унифицированной формы КС-2 или подписанием акта освидетельствования выполненных работ осуществляется п</w:t>
      </w:r>
      <w:r>
        <w:rPr>
          <w:sz w:val="24"/>
          <w:szCs w:val="24"/>
        </w:rPr>
        <w:t xml:space="preserve">ри условии надлежащего оформления и предъявления Подрядчиком полного комплекта ИД в соответствии с применимыми требованиями нормативного-технической документации и законодательства в отношении предъявляемых к сдаче-приемке работ. В ходе сдачи-приемки Подря</w:t>
      </w:r>
      <w:r>
        <w:rPr>
          <w:sz w:val="24"/>
          <w:szCs w:val="24"/>
        </w:rPr>
        <w:t xml:space="preserve">дчиком работ сформированные им комплекты исполнительной документации размещаются</w:t>
      </w:r>
      <w:r>
        <w:rPr>
          <w:rStyle w:val="951"/>
          <w:sz w:val="24"/>
          <w:szCs w:val="24"/>
        </w:rPr>
        <w:footnoteReference w:id="5"/>
      </w:r>
      <w:r>
        <w:rPr>
          <w:sz w:val="24"/>
          <w:szCs w:val="24"/>
        </w:rPr>
        <w:t xml:space="preserve"> в соответствующем разделе на сетевом ресурсе Группы РусГидро.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Доступ Техническому заказчику, Подрядчику, а также представителю проектировщика, осуществляющего авторский надзо</w:t>
      </w:r>
      <w:r>
        <w:rPr>
          <w:sz w:val="24"/>
          <w:szCs w:val="24"/>
        </w:rPr>
        <w:t xml:space="preserve">р, к сетевому ресурсу предоставляется Заказчиком или ПАО «РусГидро».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Подрядчик размещает на сетевом ресурсе в соответствующем разделе комплекты ИД и реестр ИД (далее – Реестр), в котором помимо принадлежности комплекта ИД и наименования документов отобража</w:t>
      </w:r>
      <w:r>
        <w:rPr>
          <w:sz w:val="24"/>
          <w:szCs w:val="24"/>
        </w:rPr>
        <w:t xml:space="preserve">ется информация о дате размещения, наличии замечаний, сроках устранения замечаний, отметках о согласовании по каждому комплекту ИД. Формы Реестров для соответствующих разделов представлены в приложении к настоящему Порядку. 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привлечения Подрядчико</w:t>
      </w:r>
      <w:r>
        <w:rPr>
          <w:sz w:val="24"/>
          <w:szCs w:val="24"/>
        </w:rPr>
        <w:t xml:space="preserve">м к оформлению и размещению на сетевом ресурсе документов комплекта ИД субподрядных организаций</w:t>
      </w:r>
      <w:r>
        <w:t xml:space="preserve"> </w:t>
      </w:r>
      <w:r>
        <w:rPr>
          <w:sz w:val="24"/>
          <w:szCs w:val="24"/>
        </w:rPr>
        <w:t xml:space="preserve">ответственность за</w:t>
      </w:r>
      <w:r>
        <w:t xml:space="preserve"> с</w:t>
      </w:r>
      <w:r>
        <w:rPr>
          <w:sz w:val="24"/>
          <w:szCs w:val="24"/>
        </w:rPr>
        <w:t xml:space="preserve">воевременность </w:t>
      </w:r>
      <w:r>
        <w:rPr>
          <w:sz w:val="24"/>
          <w:szCs w:val="24"/>
        </w:rPr>
        <w:t xml:space="preserve">размещения, полноту и надлежащее оформление каждого комплекта ИД возлагается на Подрядчика. 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 по выдаче и устранению </w:t>
      </w:r>
      <w:r>
        <w:rPr>
          <w:sz w:val="24"/>
          <w:szCs w:val="24"/>
        </w:rPr>
        <w:t xml:space="preserve">замечаний к ИД, согласованию комплектов ИД Техническим заказчиком должны находить свое отражение в Реестре и быть доступны для просмотра и контроля Заказчику.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По факту оформления и размещения на сетевом ресурсе комплекта ИД Подрядчик уведомляет Техническог</w:t>
      </w:r>
      <w:r>
        <w:rPr>
          <w:sz w:val="24"/>
          <w:szCs w:val="24"/>
        </w:rPr>
        <w:t xml:space="preserve">о заказчика</w:t>
      </w:r>
      <w:r>
        <w:rPr>
          <w:rStyle w:val="951"/>
          <w:sz w:val="24"/>
          <w:szCs w:val="24"/>
        </w:rPr>
        <w:footnoteReference w:id="6"/>
      </w:r>
      <w:r>
        <w:rPr>
          <w:sz w:val="24"/>
          <w:szCs w:val="24"/>
        </w:rPr>
        <w:t xml:space="preserve"> о готовности комплекта ИД и необходимости его проверки.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Технический заказчик (см. сноску 5) в течение 5 (пяти) рабочих дней осуществляет проверку комплекта ИД, в случае наличия замечаний отражает их в соответствующей графе Реестра с указанием </w:t>
      </w:r>
      <w:r>
        <w:rPr>
          <w:sz w:val="24"/>
          <w:szCs w:val="24"/>
        </w:rPr>
        <w:t xml:space="preserve">сроков их устранения и письменно извещает Подрядчика о необходимости устранения замечаний.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Перечень замечаний по возможности должен быть исчерпывающим. Направление впоследствии дополнительных замечаний к проверенному комплекту ИД не допускается за исключен</w:t>
      </w:r>
      <w:r>
        <w:rPr>
          <w:sz w:val="24"/>
          <w:szCs w:val="24"/>
        </w:rPr>
        <w:t xml:space="preserve">ием случаев, когда такие замечания предъявлены другим участником рассмотрения ИД или комплект ИД дополняется новыми документами, которые ранее не рассматривались,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или замечания представляются к той части комплекта документов, которая подверглась изменению</w:t>
      </w:r>
      <w:r>
        <w:rPr>
          <w:sz w:val="24"/>
          <w:szCs w:val="24"/>
        </w:rPr>
        <w:t xml:space="preserve"> при устранении первоначальных замечаний.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получения замечаний Технического заказчика (или иного участника рассмотрения) к комплекту ИД Подрядчик организует необходимые мероприятия по их устранению в указанные сроки.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По итогам устранения замечаний </w:t>
      </w:r>
      <w:r>
        <w:rPr>
          <w:sz w:val="24"/>
          <w:szCs w:val="24"/>
        </w:rPr>
        <w:t xml:space="preserve">и доработки комплекта ИД Подрядчик направляет Техническому заказчику (см. сноску 5) уведомление о необходимости осуществления проверки откорректированного комплекта ИД на сетевом ресурсе.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отсутствия замечаний Технический заказчик (см. сноску 5) из</w:t>
      </w:r>
      <w:r>
        <w:rPr>
          <w:sz w:val="24"/>
          <w:szCs w:val="24"/>
        </w:rPr>
        <w:t xml:space="preserve">вещает Подрядчика о согласовании комплекта ИД,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После получения письменног</w:t>
      </w:r>
      <w:r>
        <w:rPr>
          <w:sz w:val="24"/>
          <w:szCs w:val="24"/>
        </w:rPr>
        <w:t xml:space="preserve">о извещения от Заказчика о согласовании сдаточного комплекта ИД Технический заказчик (а в случае отсутствия Технического заказчика – Подрядчик) в течение 5 (пяти) рабочих дней организует мероприятия по формированию согласованного комплекта ИД из оригинальн</w:t>
      </w:r>
      <w:r>
        <w:rPr>
          <w:sz w:val="24"/>
          <w:szCs w:val="24"/>
        </w:rPr>
        <w:t xml:space="preserve">ых экземпляров документов или их надлежащим образом заверенных копий, организует брошюрование получившегося комплекта и направляет его Заказчику. При этом ответственность за полноту и качество содержания сброшюрованных в комплекты документов несет Техничес</w:t>
      </w:r>
      <w:r>
        <w:rPr>
          <w:sz w:val="24"/>
          <w:szCs w:val="24"/>
        </w:rPr>
        <w:t xml:space="preserve">кий заказчик (а в случае отсутствия Технического заказчика – Подрядчик).</w:t>
      </w:r>
      <w:r/>
    </w:p>
    <w:p>
      <w:pPr>
        <w:ind w:firstLine="708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Заказчик проверяет полноту комплекта сброшюрованных документов, в случае отсутствия замечаний осуществляет его приемку для последующей передачи в архив, по  результатам которой не поз</w:t>
      </w:r>
      <w:r>
        <w:rPr>
          <w:sz w:val="24"/>
          <w:szCs w:val="24"/>
        </w:rPr>
        <w:t xml:space="preserve">днее 3 (трех) рабочих дней Заказчик делает отметку в соответствующем Реестре о приемке такого комплекта ИД.</w:t>
      </w:r>
      <w:r/>
    </w:p>
    <w:p>
      <w:pPr>
        <w:ind w:firstLine="709"/>
        <w:jc w:val="center"/>
        <w:spacing w:line="264" w:lineRule="auto"/>
        <w:rPr>
          <w:b/>
          <w:sz w:val="24"/>
          <w:szCs w:val="24"/>
        </w:rPr>
      </w:pPr>
      <w:r>
        <w:br w:type="page" w:clear="all"/>
      </w:r>
      <w:r>
        <w:t xml:space="preserve">Т</w:t>
      </w:r>
      <w:r>
        <w:rPr>
          <w:sz w:val="24"/>
          <w:szCs w:val="24"/>
        </w:rPr>
        <w:t xml:space="preserve">ребования к организации структуры массива ИД на сетевом ресурсе, срокам первичного размещения комплектов ИД, а также к срокам передачи заводской сопроводительной документации на оборудование и иной документации, относящейся к ИД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На сетевом ресурсе Группы </w:t>
      </w:r>
      <w:r>
        <w:rPr>
          <w:sz w:val="24"/>
          <w:szCs w:val="24"/>
        </w:rPr>
        <w:t xml:space="preserve">РусГидро по каждому инвестиционному проекту строительства, реконструкции, технического перевооружения создаются отдельные разделы для размещения и контроля полноты и качества оформляемой ИД для следующих типов (видов) комплектов ИД: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Р-1 для комплектов ИД</w:t>
      </w:r>
      <w:r>
        <w:rPr>
          <w:sz w:val="24"/>
          <w:szCs w:val="24"/>
        </w:rPr>
        <w:t xml:space="preserve">, оформляемых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Р-2 для комплектов ИД, оформляемых для приемки выполненных р</w:t>
      </w:r>
      <w:r>
        <w:rPr>
          <w:sz w:val="24"/>
          <w:szCs w:val="24"/>
        </w:rPr>
        <w:t xml:space="preserve">абот по актам КС-2 или по актам приемки объемов фактически выполненных работ за отчетный период (календарный месяц);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Р3 для сводных (сдаточных) комплектов ИД по каждому полностью готовому строительному конструктиву или функционально-технологическому узлу</w:t>
      </w:r>
      <w:r>
        <w:rPr>
          <w:sz w:val="24"/>
          <w:szCs w:val="24"/>
        </w:rPr>
        <w:t xml:space="preserve"> (системе) и сдаточных пакетов, группируемых из нескольких таких сдаточных комплектов ИД;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Р-4, для комплектов ИД, оформляемых по результатам пусконаладочных работ и испытаний оборудования или функционально-технологического узла (системы), а также сдаточн</w:t>
      </w:r>
      <w:r>
        <w:rPr>
          <w:sz w:val="24"/>
          <w:szCs w:val="24"/>
        </w:rPr>
        <w:t xml:space="preserve">ых пакетов, группируемых из нескольких таких комплектов ИД.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В каждом из разделов размещаются: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файл Реестра для данного раздела (например, в формате таблицы Excel, в которой по строкам будет формироваться перечень комплектов </w:t>
      </w:r>
      <w:r>
        <w:rPr>
          <w:sz w:val="24"/>
          <w:szCs w:val="24"/>
        </w:rPr>
        <w:t xml:space="preserve">и документов ИД, оформляемых в ходе строительства, а в столбцах будет отражаться информация о состоянии полноты комплекта, замечаниях по результатам проверки, отметки об устранении замечаний, отметки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о согласовании комплекта ИД генеральным подрядчиком, Те</w:t>
      </w:r>
      <w:r>
        <w:rPr>
          <w:sz w:val="24"/>
          <w:szCs w:val="24"/>
        </w:rPr>
        <w:t xml:space="preserve">хническим заказчиком (агентом), Заказчиком, отметки о передаче комплекта ИД для архива Заказчика, а также прочая необходимая информация);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отдельные папки для каждого комплекта ИД, в которых размещаются файлы отсканированных документов данного комплекта.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Основным идентификатором (признаком) наименования комплекта ИД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в Реестре и элементом названия для соответствующей папки с файлами документов ИД следует принять номер чертежа рабочей документации.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если в одном комплекте рабочих чертежей (за одним </w:t>
      </w:r>
      <w:r>
        <w:rPr>
          <w:sz w:val="24"/>
          <w:szCs w:val="24"/>
        </w:rPr>
        <w:t xml:space="preserve">номером) на листах предусмотрено выполнение разных строительных конструктивов, то в папке с наименованием, соответствующим этому номеру комплекта рабочих чертежей, создаются подпапки для размещения соответствующих пакетов ИД. При наименовании указанных под</w:t>
      </w:r>
      <w:r>
        <w:rPr>
          <w:sz w:val="24"/>
          <w:szCs w:val="24"/>
        </w:rPr>
        <w:t xml:space="preserve">папок (и имен пакетов, записываемых в Реестре) дополнительно к номеру комплекта рабочих чертежей добавляется номер/номера соответствующих листов и сокращенное название строительного конструктива.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Требуемые сроки подготовки и размещения на сетевом ресурсе к</w:t>
      </w:r>
      <w:r>
        <w:rPr>
          <w:sz w:val="24"/>
          <w:szCs w:val="24"/>
        </w:rPr>
        <w:t xml:space="preserve">омплекта ИД в электронном виде для проверки и согласования: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для ИД, оформляемой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</w:t>
      </w:r>
      <w:r>
        <w:rPr>
          <w:sz w:val="24"/>
          <w:szCs w:val="24"/>
        </w:rPr>
        <w:t xml:space="preserve">ния), – за 3 (три) рабочих дня до даты освидетельствования;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по ИД, оформляемой для приемки работ по актам КС-2 или по актам приемки объемов фактически выполненных работ за отчетный период (календарный месяц), – за 3 (три) рабочих дня до даты предъявления</w:t>
      </w:r>
      <w:r>
        <w:rPr>
          <w:sz w:val="24"/>
          <w:szCs w:val="24"/>
        </w:rPr>
        <w:t xml:space="preserve"> указанных актов;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для сводной (сдаточной) ИД по полностью готовым строительным конструктивам или функционально-технологическим узлам (системам) – не позднее 5 (пяти) рабочих дней со дня сдачи-приемки полностью готового строительного конструктива и не поз</w:t>
      </w:r>
      <w:r>
        <w:rPr>
          <w:sz w:val="24"/>
          <w:szCs w:val="24"/>
        </w:rPr>
        <w:t xml:space="preserve">днее 3 (трех) рабочих дней до дня сдачи-приемки тех строительных конструктивов, завершенного монтажом оборудования или функционально-технологического узла (системы), приемка которых должна осуществляться специализированными подкомиссиями (далее – СПК);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д</w:t>
      </w:r>
      <w:r>
        <w:rPr>
          <w:sz w:val="24"/>
          <w:szCs w:val="24"/>
        </w:rPr>
        <w:t xml:space="preserve">ля ИД по результатам пусконаладочных работ – не позднее 5 (пяти) рабочих дней после индивидуальных испытаний оборудования или функционально-технологического узла.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Относящаяся к оборудованию заводская сопроводительная документация в бумажном виде, представл</w:t>
      </w:r>
      <w:r>
        <w:rPr>
          <w:sz w:val="24"/>
          <w:szCs w:val="24"/>
        </w:rPr>
        <w:t xml:space="preserve">яемая поставщиком вместе с оборудованием, не подлежит сканированию для перевода в электронный формат,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</w:t>
      </w:r>
      <w:r>
        <w:rPr>
          <w:sz w:val="24"/>
          <w:szCs w:val="24"/>
        </w:rPr>
        <w:t xml:space="preserve">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Передача указанной документации в адрес Заказчика должна осуществляться не позднее 3 (трех) рабочих дней до дня сдачи-приемки (проведения СПК) завершенного монтажом оборудования или функционально-технологического узла (системы).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ИД (с соответствующим Рее</w:t>
      </w:r>
      <w:r>
        <w:rPr>
          <w:sz w:val="24"/>
          <w:szCs w:val="24"/>
        </w:rPr>
        <w:t xml:space="preserve">стром), не относящаяся к каким-то конкретным рабочим чертежам, которая ведется в течение всего периода строительства, а именно: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документация пооперационного строительного контроля – журналы работ (общий, специальные, авторского надзора, входного контроля</w:t>
      </w:r>
      <w:r>
        <w:rPr>
          <w:sz w:val="24"/>
          <w:szCs w:val="24"/>
        </w:rPr>
        <w:t xml:space="preserve">);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ИД по геодезии – акты освидетельствования геодезической разбивочной основы для строительства, разбивки осей объекта капитального строительства на местности, Протоколы (или журнал) регистрации и переноса монтажных знаков, марок, ориентиров и реперов дл</w:t>
      </w:r>
      <w:r>
        <w:rPr>
          <w:sz w:val="24"/>
          <w:szCs w:val="24"/>
        </w:rPr>
        <w:t xml:space="preserve">я геодезического контроля;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 ИД по мониторингу за деформациями, осадками и кренами возводимых зданий и сооружений в период строительства; 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- ИД по геотехническому мониторингу земляных масс, грунтовых оснований, пластов, насыпей, склонов, инклинометрии сква</w:t>
      </w:r>
      <w:r>
        <w:rPr>
          <w:sz w:val="24"/>
          <w:szCs w:val="24"/>
        </w:rPr>
        <w:t xml:space="preserve">жин, сейсмометрии,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будет подлежать передаче от Технического заказчика (а в случае отсутствия Технического заказчика – от Подрядчика) в адрес Заказчика единым комплектом в бумажном виде на стадии завершения строительства (реконструкции, технического перевоо</w:t>
      </w:r>
      <w:r>
        <w:rPr>
          <w:sz w:val="24"/>
          <w:szCs w:val="24"/>
        </w:rPr>
        <w:t xml:space="preserve">ружения) не позднее 5 (пяти) рабочих дней после получения по результатам проверки органом государственного строительного надзора заключения</w:t>
      </w:r>
      <w:r>
        <w:rPr>
          <w:rStyle w:val="951"/>
          <w:sz w:val="24"/>
          <w:szCs w:val="24"/>
        </w:rPr>
        <w:footnoteReference w:id="7"/>
      </w:r>
      <w:r>
        <w:rPr>
          <w:sz w:val="24"/>
          <w:szCs w:val="24"/>
        </w:rPr>
        <w:t xml:space="preserve"> о соответствии законченного строительством, реконструкцией объекта капитального строительства требованиям техническ</w:t>
      </w:r>
      <w:r>
        <w:rPr>
          <w:sz w:val="24"/>
          <w:szCs w:val="24"/>
        </w:rPr>
        <w:t xml:space="preserve">их регламентов, иных нормативных правовых актов и проектной документации,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</w:t>
      </w:r>
      <w:r>
        <w:rPr>
          <w:sz w:val="24"/>
          <w:szCs w:val="24"/>
        </w:rPr>
        <w:t xml:space="preserve">х ресурсов.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Требования к ведению исполнительной документации в форме электронных документов по пунктам 4, 5, 9 приложения № 2 к приказу Минст</w:t>
      </w:r>
      <w:r>
        <w:rPr>
          <w:sz w:val="24"/>
          <w:szCs w:val="24"/>
        </w:rPr>
        <w:t xml:space="preserve">роя России от 16.05.2023 № 344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будут применяются после реализации соответствующего функционала </w:t>
      </w:r>
      <w:r>
        <w:rPr>
          <w:sz w:val="24"/>
          <w:szCs w:val="24"/>
        </w:rPr>
        <w:t xml:space="preserve">в информационных системах Группы РусГидро, а также размещения новой xml-схемы на официальном сайте Министерства строительства и жилищно-коммунального хозяйства Российской Федерации в сети Интернет.</w:t>
      </w:r>
      <w:r/>
    </w:p>
    <w:p>
      <w:pPr>
        <w:ind w:firstLine="709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left="1701" w:hanging="1701"/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Приложение: формы Реестров исполнительной документации дл</w:t>
      </w:r>
      <w:r>
        <w:rPr>
          <w:sz w:val="24"/>
          <w:szCs w:val="24"/>
        </w:rPr>
        <w:t xml:space="preserve">я разделов </w:t>
      </w:r>
      <w:r>
        <w:rPr>
          <w:sz w:val="24"/>
          <w:szCs w:val="24"/>
        </w:rPr>
        <w:br w:type="textWrapping" w:clear="all"/>
      </w:r>
      <w:r>
        <w:rPr>
          <w:sz w:val="24"/>
          <w:szCs w:val="24"/>
        </w:rPr>
        <w:t xml:space="preserve">Р-1, Р-2, Р-3, Р-4 в электронном виде (формат Excel).</w:t>
      </w:r>
      <w:r/>
    </w:p>
    <w:p>
      <w:pPr>
        <w:jc w:val="both"/>
        <w:spacing w:line="264" w:lineRule="auto"/>
        <w:rPr>
          <w:sz w:val="24"/>
          <w:szCs w:val="24"/>
        </w:rPr>
      </w:pPr>
      <w:r>
        <w:rPr>
          <w:sz w:val="24"/>
          <w:szCs w:val="24"/>
        </w:rPr>
      </w:r>
      <w:r/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ind w:firstLine="567"/>
              <w:jc w:val="both"/>
              <w:spacing w:line="26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567"/>
              <w:spacing w:line="26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jc w:val="both"/>
              <w:spacing w:line="26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 /  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567"/>
              <w:spacing w:line="26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ind w:firstLine="35"/>
              <w:spacing w:line="26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 / </w:t>
            </w:r>
            <w:r/>
          </w:p>
          <w:p>
            <w:pPr>
              <w:ind w:firstLine="567"/>
              <w:jc w:val="right"/>
              <w:spacing w:line="26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</w:tc>
      </w:tr>
    </w:tbl>
    <w:p>
      <w:pPr>
        <w:ind w:left="1701" w:hanging="1701"/>
        <w:jc w:val="both"/>
        <w:rPr>
          <w:sz w:val="24"/>
          <w:szCs w:val="24"/>
        </w:rPr>
      </w:pPr>
      <w:r>
        <w:rPr>
          <w:sz w:val="24"/>
          <w:szCs w:val="24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851" w:right="680" w:bottom="851" w:left="124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9"/>
        <w:rPr>
          <w:sz w:val="18"/>
          <w:szCs w:val="18"/>
        </w:rPr>
      </w:pPr>
      <w:r>
        <w:rPr>
          <w:rStyle w:val="951"/>
          <w:sz w:val="18"/>
          <w:szCs w:val="18"/>
        </w:rPr>
        <w:footnoteRef/>
      </w:r>
      <w:r>
        <w:rPr>
          <w:sz w:val="18"/>
          <w:szCs w:val="18"/>
        </w:rPr>
        <w:t xml:space="preserve"> Далее – ПО.</w:t>
      </w:r>
      <w:r/>
    </w:p>
  </w:footnote>
  <w:footnote w:id="3">
    <w:p>
      <w:pPr>
        <w:pStyle w:val="949"/>
      </w:pPr>
      <w:r>
        <w:rPr>
          <w:rStyle w:val="951"/>
        </w:rPr>
        <w:footnoteRef/>
      </w:r>
      <w:r>
        <w:t xml:space="preserve"> </w:t>
      </w:r>
      <w:r>
        <w:rPr>
          <w:sz w:val="18"/>
          <w:szCs w:val="18"/>
        </w:rPr>
        <w:t xml:space="preserve">Далее соответственно Заказчик, Технический заказчик и Подрядчик.</w:t>
      </w:r>
      <w:r/>
    </w:p>
  </w:footnote>
  <w:footnote w:id="4">
    <w:p>
      <w:pPr>
        <w:pStyle w:val="949"/>
        <w:jc w:val="both"/>
      </w:pPr>
      <w:r>
        <w:rPr>
          <w:rStyle w:val="951"/>
        </w:rPr>
        <w:footnoteRef/>
      </w:r>
      <w:r>
        <w:t xml:space="preserve"> </w:t>
      </w:r>
      <w:r>
        <w:rPr>
          <w:sz w:val="18"/>
          <w:szCs w:val="18"/>
        </w:rPr>
        <w:t xml:space="preserve">Далее также ИД. Состав исполнительной документации должен соответствовать Требованиям к составу и порядку ведения исполнительной документации при строительстве, реконструкции, капитальном р</w:t>
      </w:r>
      <w:r>
        <w:rPr>
          <w:sz w:val="18"/>
          <w:szCs w:val="18"/>
        </w:rPr>
        <w:t xml:space="preserve">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утвержденным приказом Ростехнадзора от 26.12.2006 № 1128, и перечню ИД, указанному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</w:t>
      </w:r>
      <w:r>
        <w:rPr>
          <w:sz w:val="18"/>
          <w:szCs w:val="18"/>
        </w:rPr>
        <w:t xml:space="preserve">проектной и рабочей документации на реконструкцию и техническое перевооружение объекта капитального строительства, а также требованиям федеральных норм и правил (ФНП), правил, руководящих документов (РД), сводов правил (СП), строительных норм и правил (СНи</w:t>
      </w:r>
      <w:r>
        <w:rPr>
          <w:sz w:val="18"/>
          <w:szCs w:val="18"/>
        </w:rPr>
        <w:t xml:space="preserve">П), технических регламентов (ТР), национальных стандартов (ГОСТ Р), иных нормативно-правовых и нормативно-технических документов Российской Федерации, как непосредственно указанных в проектной и рабочей документации, так и не указанных, но применимых в отн</w:t>
      </w:r>
      <w:r>
        <w:rPr>
          <w:sz w:val="18"/>
          <w:szCs w:val="18"/>
        </w:rPr>
        <w:t xml:space="preserve">ошении выполняемых работ.</w:t>
      </w:r>
      <w:r/>
    </w:p>
  </w:footnote>
  <w:footnote w:id="5">
    <w:p>
      <w:pPr>
        <w:pStyle w:val="949"/>
        <w:rPr>
          <w:sz w:val="18"/>
          <w:szCs w:val="18"/>
        </w:rPr>
      </w:pPr>
      <w:r>
        <w:rPr>
          <w:rStyle w:val="951"/>
          <w:sz w:val="18"/>
          <w:szCs w:val="18"/>
        </w:rPr>
        <w:footnoteRef/>
      </w:r>
      <w:r>
        <w:rPr>
          <w:sz w:val="18"/>
          <w:szCs w:val="18"/>
        </w:rPr>
        <w:t xml:space="preserve"> К формату размещения на сетевом ресурсе исполнительной документации относятся:</w:t>
      </w:r>
      <w:r/>
    </w:p>
    <w:p>
      <w:pPr>
        <w:pStyle w:val="949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электронные копии бумажной версии документации с использованием программно-технических средств;</w:t>
      </w:r>
      <w:r/>
    </w:p>
    <w:p>
      <w:pPr>
        <w:pStyle w:val="949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копии в электронной форме в стандартных форматах, предусматривающих хранение графических изображений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виде векторной графики, допускающих редактирование с применением программного обеспечения;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электронной форме должны быть отражены все изменения и кор</w:t>
      </w:r>
      <w:r>
        <w:rPr>
          <w:sz w:val="18"/>
          <w:szCs w:val="18"/>
        </w:rPr>
        <w:t xml:space="preserve">ректировки, выполненные в процессе проведения работ и соответствующие выполненному монтажу на оборудовании и устройствах, согласованные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и заверенные проектировщиком. Обязанность по формированию электронных копий возлагается на Подрядчика.</w:t>
      </w:r>
      <w:r/>
    </w:p>
  </w:footnote>
  <w:footnote w:id="6">
    <w:p>
      <w:pPr>
        <w:pStyle w:val="949"/>
        <w:jc w:val="both"/>
      </w:pPr>
      <w:r>
        <w:rPr>
          <w:rStyle w:val="951"/>
        </w:rPr>
        <w:footnoteRef/>
      </w:r>
      <w:r>
        <w:t xml:space="preserve"> </w:t>
      </w:r>
      <w:r>
        <w:rPr>
          <w:sz w:val="18"/>
          <w:szCs w:val="18"/>
        </w:rPr>
        <w:t xml:space="preserve">Подрядчик увед</w:t>
      </w:r>
      <w:r>
        <w:rPr>
          <w:sz w:val="18"/>
          <w:szCs w:val="18"/>
        </w:rPr>
        <w:t xml:space="preserve">омляет Заказчика в случае реализации инвестиционного проекта без участия Технического заказчика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качестве стороны. Для данных инвестиционных проектов (при наличии ссылки на эту сноску далее по тексту) действия Технического заказчика выполняет Заказчик.</w:t>
      </w:r>
      <w:r/>
    </w:p>
  </w:footnote>
  <w:footnote w:id="7">
    <w:p>
      <w:pPr>
        <w:pStyle w:val="949"/>
        <w:jc w:val="both"/>
      </w:pPr>
      <w:r>
        <w:rPr>
          <w:rStyle w:val="951"/>
        </w:rPr>
        <w:footnoteRef/>
      </w:r>
      <w:r>
        <w:t xml:space="preserve"> В случае если предусмотрено осуществление государственного строительного надзора в соответствии </w:t>
      </w:r>
      <w:r>
        <w:br w:type="textWrapping" w:clear="all"/>
      </w:r>
      <w:r>
        <w:t xml:space="preserve">с «Градостроительным кодексом Российской Федерации» от 29.12.2004 № 190-ФЗ и постановлением Правительства Российской Федерации от 01.12.2021 № 2161 (ред. от 3</w:t>
      </w:r>
      <w:r>
        <w:t xml:space="preserve">0.03.2023) «Об утверждении общих требований к организации и осуществлению регионального государственного строительного надзора».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6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</w:t>
    </w:r>
    <w:r>
      <w:rPr>
        <w:sz w:val="24"/>
        <w:szCs w:val="24"/>
      </w:rPr>
      <w:fldChar w:fldCharType="end"/>
    </w:r>
    <w:r/>
  </w:p>
  <w:p>
    <w:pPr>
      <w:pStyle w:val="81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52">
    <w:name w:val="Plain Table 1"/>
    <w:basedOn w:val="78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basedOn w:val="7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2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4"/>
    <w:basedOn w:val="7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1">
    <w:name w:val="Grid Table 5 Dark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7 Colorful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6 Colorful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0">
    <w:name w:val="List Table 7 Colorful"/>
    <w:basedOn w:val="7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71" w:default="1">
    <w:name w:val="Normal"/>
    <w:qFormat/>
    <w:rPr>
      <w:rFonts w:ascii="Times New Roman" w:hAnsi="Times New Roman" w:eastAsia="Times New Roman"/>
      <w:sz w:val="28"/>
      <w:szCs w:val="28"/>
      <w:lang w:eastAsia="ru-RU"/>
    </w:rPr>
  </w:style>
  <w:style w:type="paragraph" w:styleId="772">
    <w:name w:val="Heading 1"/>
    <w:basedOn w:val="771"/>
    <w:next w:val="771"/>
    <w:link w:val="7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3">
    <w:name w:val="Heading 2"/>
    <w:basedOn w:val="771"/>
    <w:next w:val="771"/>
    <w:link w:val="7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4">
    <w:name w:val="Heading 3"/>
    <w:basedOn w:val="771"/>
    <w:next w:val="771"/>
    <w:link w:val="7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5">
    <w:name w:val="Heading 4"/>
    <w:basedOn w:val="771"/>
    <w:next w:val="771"/>
    <w:link w:val="80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6">
    <w:name w:val="Heading 5"/>
    <w:basedOn w:val="771"/>
    <w:next w:val="771"/>
    <w:link w:val="8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77">
    <w:name w:val="Heading 6"/>
    <w:basedOn w:val="771"/>
    <w:next w:val="771"/>
    <w:link w:val="8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8">
    <w:name w:val="Heading 7"/>
    <w:basedOn w:val="771"/>
    <w:next w:val="771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9">
    <w:name w:val="Heading 8"/>
    <w:basedOn w:val="771"/>
    <w:next w:val="771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0">
    <w:name w:val="Heading 9"/>
    <w:basedOn w:val="771"/>
    <w:next w:val="771"/>
    <w:link w:val="8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1" w:default="1">
    <w:name w:val="Default Paragraph Font"/>
    <w:uiPriority w:val="1"/>
    <w:semiHidden/>
    <w:unhideWhenUsed/>
  </w:style>
  <w:style w:type="table" w:styleId="7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3" w:default="1">
    <w:name w:val="No List"/>
    <w:uiPriority w:val="99"/>
    <w:semiHidden/>
    <w:unhideWhenUsed/>
  </w:style>
  <w:style w:type="character" w:styleId="784" w:customStyle="1">
    <w:name w:val="Heading 1 Char"/>
    <w:basedOn w:val="781"/>
    <w:uiPriority w:val="9"/>
    <w:rPr>
      <w:rFonts w:ascii="Arial" w:hAnsi="Arial" w:eastAsia="Arial" w:cs="Arial"/>
      <w:sz w:val="40"/>
      <w:szCs w:val="40"/>
    </w:rPr>
  </w:style>
  <w:style w:type="character" w:styleId="785" w:customStyle="1">
    <w:name w:val="Heading 2 Char"/>
    <w:basedOn w:val="781"/>
    <w:uiPriority w:val="9"/>
    <w:rPr>
      <w:rFonts w:ascii="Arial" w:hAnsi="Arial" w:eastAsia="Arial" w:cs="Arial"/>
      <w:sz w:val="34"/>
    </w:rPr>
  </w:style>
  <w:style w:type="character" w:styleId="786" w:customStyle="1">
    <w:name w:val="Heading 3 Char"/>
    <w:basedOn w:val="781"/>
    <w:uiPriority w:val="9"/>
    <w:rPr>
      <w:rFonts w:ascii="Arial" w:hAnsi="Arial" w:eastAsia="Arial" w:cs="Arial"/>
      <w:sz w:val="30"/>
      <w:szCs w:val="30"/>
    </w:rPr>
  </w:style>
  <w:style w:type="character" w:styleId="787" w:customStyle="1">
    <w:name w:val="Heading 4 Char"/>
    <w:basedOn w:val="781"/>
    <w:uiPriority w:val="9"/>
    <w:rPr>
      <w:rFonts w:ascii="Arial" w:hAnsi="Arial" w:eastAsia="Arial" w:cs="Arial"/>
      <w:b/>
      <w:bCs/>
      <w:sz w:val="26"/>
      <w:szCs w:val="26"/>
    </w:rPr>
  </w:style>
  <w:style w:type="character" w:styleId="788" w:customStyle="1">
    <w:name w:val="Heading 5 Char"/>
    <w:basedOn w:val="781"/>
    <w:uiPriority w:val="9"/>
    <w:rPr>
      <w:rFonts w:ascii="Arial" w:hAnsi="Arial" w:eastAsia="Arial" w:cs="Arial"/>
      <w:b/>
      <w:bCs/>
      <w:sz w:val="24"/>
      <w:szCs w:val="24"/>
    </w:rPr>
  </w:style>
  <w:style w:type="character" w:styleId="789" w:customStyle="1">
    <w:name w:val="Heading 6 Char"/>
    <w:basedOn w:val="781"/>
    <w:uiPriority w:val="9"/>
    <w:rPr>
      <w:rFonts w:ascii="Arial" w:hAnsi="Arial" w:eastAsia="Arial" w:cs="Arial"/>
      <w:b/>
      <w:bCs/>
      <w:sz w:val="22"/>
      <w:szCs w:val="22"/>
    </w:rPr>
  </w:style>
  <w:style w:type="character" w:styleId="790" w:customStyle="1">
    <w:name w:val="Heading 7 Char"/>
    <w:basedOn w:val="7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1" w:customStyle="1">
    <w:name w:val="Heading 8 Char"/>
    <w:basedOn w:val="781"/>
    <w:uiPriority w:val="9"/>
    <w:rPr>
      <w:rFonts w:ascii="Arial" w:hAnsi="Arial" w:eastAsia="Arial" w:cs="Arial"/>
      <w:i/>
      <w:iCs/>
      <w:sz w:val="22"/>
      <w:szCs w:val="22"/>
    </w:rPr>
  </w:style>
  <w:style w:type="character" w:styleId="792" w:customStyle="1">
    <w:name w:val="Heading 9 Char"/>
    <w:basedOn w:val="781"/>
    <w:uiPriority w:val="9"/>
    <w:rPr>
      <w:rFonts w:ascii="Arial" w:hAnsi="Arial" w:eastAsia="Arial" w:cs="Arial"/>
      <w:i/>
      <w:iCs/>
      <w:sz w:val="21"/>
      <w:szCs w:val="21"/>
    </w:rPr>
  </w:style>
  <w:style w:type="character" w:styleId="793" w:customStyle="1">
    <w:name w:val="Title Char"/>
    <w:basedOn w:val="781"/>
    <w:uiPriority w:val="10"/>
    <w:rPr>
      <w:sz w:val="48"/>
      <w:szCs w:val="48"/>
    </w:rPr>
  </w:style>
  <w:style w:type="character" w:styleId="794" w:customStyle="1">
    <w:name w:val="Subtitle Char"/>
    <w:basedOn w:val="781"/>
    <w:uiPriority w:val="11"/>
    <w:rPr>
      <w:sz w:val="24"/>
      <w:szCs w:val="24"/>
    </w:rPr>
  </w:style>
  <w:style w:type="character" w:styleId="795" w:customStyle="1">
    <w:name w:val="Quote Char"/>
    <w:uiPriority w:val="29"/>
    <w:rPr>
      <w:i/>
    </w:rPr>
  </w:style>
  <w:style w:type="character" w:styleId="796" w:customStyle="1">
    <w:name w:val="Intense Quote Char"/>
    <w:uiPriority w:val="30"/>
    <w:rPr>
      <w:i/>
    </w:rPr>
  </w:style>
  <w:style w:type="character" w:styleId="797" w:customStyle="1">
    <w:name w:val="Заголовок 1 Знак"/>
    <w:link w:val="772"/>
    <w:uiPriority w:val="9"/>
    <w:rPr>
      <w:rFonts w:ascii="Arial" w:hAnsi="Arial" w:eastAsia="Arial" w:cs="Arial"/>
      <w:sz w:val="40"/>
      <w:szCs w:val="40"/>
    </w:rPr>
  </w:style>
  <w:style w:type="character" w:styleId="798" w:customStyle="1">
    <w:name w:val="Заголовок 2 Знак"/>
    <w:link w:val="773"/>
    <w:uiPriority w:val="9"/>
    <w:rPr>
      <w:rFonts w:ascii="Arial" w:hAnsi="Arial" w:eastAsia="Arial" w:cs="Arial"/>
      <w:sz w:val="34"/>
    </w:rPr>
  </w:style>
  <w:style w:type="character" w:styleId="799" w:customStyle="1">
    <w:name w:val="Заголовок 3 Знак"/>
    <w:link w:val="774"/>
    <w:uiPriority w:val="9"/>
    <w:rPr>
      <w:rFonts w:ascii="Arial" w:hAnsi="Arial" w:eastAsia="Arial" w:cs="Arial"/>
      <w:sz w:val="30"/>
      <w:szCs w:val="30"/>
    </w:rPr>
  </w:style>
  <w:style w:type="character" w:styleId="800" w:customStyle="1">
    <w:name w:val="Заголовок 4 Знак"/>
    <w:link w:val="775"/>
    <w:uiPriority w:val="9"/>
    <w:rPr>
      <w:rFonts w:ascii="Arial" w:hAnsi="Arial" w:eastAsia="Arial" w:cs="Arial"/>
      <w:b/>
      <w:bCs/>
      <w:sz w:val="26"/>
      <w:szCs w:val="26"/>
    </w:rPr>
  </w:style>
  <w:style w:type="character" w:styleId="801" w:customStyle="1">
    <w:name w:val="Заголовок 5 Знак"/>
    <w:link w:val="776"/>
    <w:uiPriority w:val="9"/>
    <w:rPr>
      <w:rFonts w:ascii="Arial" w:hAnsi="Arial" w:eastAsia="Arial" w:cs="Arial"/>
      <w:b/>
      <w:bCs/>
      <w:sz w:val="24"/>
      <w:szCs w:val="24"/>
    </w:rPr>
  </w:style>
  <w:style w:type="character" w:styleId="802" w:customStyle="1">
    <w:name w:val="Заголовок 6 Знак"/>
    <w:link w:val="777"/>
    <w:uiPriority w:val="9"/>
    <w:rPr>
      <w:rFonts w:ascii="Arial" w:hAnsi="Arial" w:eastAsia="Arial" w:cs="Arial"/>
      <w:b/>
      <w:bCs/>
      <w:sz w:val="22"/>
      <w:szCs w:val="22"/>
    </w:rPr>
  </w:style>
  <w:style w:type="character" w:styleId="803" w:customStyle="1">
    <w:name w:val="Заголовок 7 Знак"/>
    <w:link w:val="7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4" w:customStyle="1">
    <w:name w:val="Заголовок 8 Знак"/>
    <w:link w:val="779"/>
    <w:uiPriority w:val="9"/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Заголовок 9 Знак"/>
    <w:link w:val="780"/>
    <w:uiPriority w:val="9"/>
    <w:rPr>
      <w:rFonts w:ascii="Arial" w:hAnsi="Arial" w:eastAsia="Arial" w:cs="Arial"/>
      <w:i/>
      <w:iCs/>
      <w:sz w:val="21"/>
      <w:szCs w:val="21"/>
    </w:rPr>
  </w:style>
  <w:style w:type="paragraph" w:styleId="806">
    <w:name w:val="List Paragraph"/>
    <w:basedOn w:val="771"/>
    <w:uiPriority w:val="34"/>
    <w:qFormat/>
    <w:pPr>
      <w:contextualSpacing/>
      <w:ind w:left="720"/>
    </w:pPr>
  </w:style>
  <w:style w:type="paragraph" w:styleId="807">
    <w:name w:val="No Spacing"/>
    <w:uiPriority w:val="1"/>
    <w:qFormat/>
    <w:rPr>
      <w:rFonts w:eastAsia="Times New Roman"/>
      <w:sz w:val="22"/>
      <w:szCs w:val="22"/>
      <w:lang w:eastAsia="en-US"/>
    </w:rPr>
  </w:style>
  <w:style w:type="paragraph" w:styleId="808">
    <w:name w:val="Title"/>
    <w:basedOn w:val="771"/>
    <w:next w:val="771"/>
    <w:link w:val="8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9" w:customStyle="1">
    <w:name w:val="Заголовок Знак"/>
    <w:link w:val="808"/>
    <w:uiPriority w:val="10"/>
    <w:rPr>
      <w:sz w:val="48"/>
      <w:szCs w:val="48"/>
    </w:rPr>
  </w:style>
  <w:style w:type="paragraph" w:styleId="810">
    <w:name w:val="Subtitle"/>
    <w:basedOn w:val="771"/>
    <w:next w:val="771"/>
    <w:link w:val="811"/>
    <w:uiPriority w:val="11"/>
    <w:qFormat/>
    <w:pPr>
      <w:spacing w:before="200" w:after="200"/>
    </w:pPr>
    <w:rPr>
      <w:sz w:val="24"/>
      <w:szCs w:val="24"/>
    </w:rPr>
  </w:style>
  <w:style w:type="character" w:styleId="811" w:customStyle="1">
    <w:name w:val="Подзаголовок Знак"/>
    <w:link w:val="810"/>
    <w:uiPriority w:val="11"/>
    <w:rPr>
      <w:sz w:val="24"/>
      <w:szCs w:val="24"/>
    </w:rPr>
  </w:style>
  <w:style w:type="paragraph" w:styleId="812">
    <w:name w:val="Quote"/>
    <w:basedOn w:val="771"/>
    <w:next w:val="771"/>
    <w:link w:val="813"/>
    <w:uiPriority w:val="29"/>
    <w:qFormat/>
    <w:pPr>
      <w:ind w:left="720" w:right="720"/>
    </w:pPr>
    <w:rPr>
      <w:i/>
    </w:rPr>
  </w:style>
  <w:style w:type="character" w:styleId="813" w:customStyle="1">
    <w:name w:val="Цитата 2 Знак"/>
    <w:link w:val="812"/>
    <w:uiPriority w:val="29"/>
    <w:rPr>
      <w:i/>
    </w:rPr>
  </w:style>
  <w:style w:type="paragraph" w:styleId="814">
    <w:name w:val="Intense Quote"/>
    <w:basedOn w:val="771"/>
    <w:next w:val="771"/>
    <w:link w:val="8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5" w:customStyle="1">
    <w:name w:val="Выделенная цитата Знак"/>
    <w:link w:val="814"/>
    <w:uiPriority w:val="30"/>
    <w:rPr>
      <w:i/>
    </w:rPr>
  </w:style>
  <w:style w:type="paragraph" w:styleId="816">
    <w:name w:val="Header"/>
    <w:basedOn w:val="771"/>
    <w:link w:val="97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17" w:customStyle="1">
    <w:name w:val="Header Char"/>
    <w:uiPriority w:val="99"/>
  </w:style>
  <w:style w:type="paragraph" w:styleId="818">
    <w:name w:val="Footer"/>
    <w:basedOn w:val="771"/>
    <w:link w:val="98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19" w:customStyle="1">
    <w:name w:val="Footer Char"/>
    <w:uiPriority w:val="99"/>
  </w:style>
  <w:style w:type="paragraph" w:styleId="820">
    <w:name w:val="Caption"/>
    <w:basedOn w:val="771"/>
    <w:next w:val="7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1" w:customStyle="1">
    <w:name w:val="Caption Char"/>
    <w:uiPriority w:val="99"/>
  </w:style>
  <w:style w:type="table" w:styleId="822">
    <w:name w:val="Table Grid"/>
    <w:basedOn w:val="782"/>
    <w:uiPriority w:val="59"/>
    <w:tblPr/>
  </w:style>
  <w:style w:type="table" w:styleId="82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 w:customStyle="1">
    <w:name w:val="Таблица простая 1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 w:customStyle="1">
    <w:name w:val="Таблица простая 2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 w:customStyle="1">
    <w:name w:val="Таблица простая 3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7" w:customStyle="1">
    <w:name w:val="Таблица простая 4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Таблица простая 5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9" w:customStyle="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Таблица-сетка 2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Таблица-сетка 3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Таблица-сетка 4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7" w:customStyle="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4" w:customStyle="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 w:customStyle="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78" w:customStyle="1">
    <w:name w:val="Список-таблица 1 светлая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Список-таблица 2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2" w:customStyle="1">
    <w:name w:val="Список-таблица 3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Список-таблица 4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0" w:customStyle="1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2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8">
    <w:name w:val="Hyperlink"/>
    <w:uiPriority w:val="99"/>
    <w:unhideWhenUsed/>
    <w:rPr>
      <w:color w:val="0000ff"/>
      <w:u w:val="single"/>
    </w:rPr>
  </w:style>
  <w:style w:type="paragraph" w:styleId="949">
    <w:name w:val="footnote text"/>
    <w:basedOn w:val="771"/>
    <w:link w:val="984"/>
    <w:uiPriority w:val="99"/>
    <w:semiHidden/>
    <w:unhideWhenUsed/>
    <w:rPr>
      <w:sz w:val="20"/>
      <w:szCs w:val="20"/>
    </w:rPr>
  </w:style>
  <w:style w:type="character" w:styleId="950" w:customStyle="1">
    <w:name w:val="Footnote Text Char"/>
    <w:uiPriority w:val="99"/>
    <w:rPr>
      <w:sz w:val="18"/>
    </w:rPr>
  </w:style>
  <w:style w:type="character" w:styleId="951">
    <w:name w:val="footnote reference"/>
    <w:uiPriority w:val="99"/>
    <w:semiHidden/>
    <w:unhideWhenUsed/>
    <w:rPr>
      <w:vertAlign w:val="superscript"/>
    </w:rPr>
  </w:style>
  <w:style w:type="paragraph" w:styleId="952">
    <w:name w:val="endnote text"/>
    <w:basedOn w:val="771"/>
    <w:link w:val="985"/>
    <w:uiPriority w:val="99"/>
    <w:semiHidden/>
    <w:unhideWhenUsed/>
    <w:rPr>
      <w:sz w:val="20"/>
      <w:szCs w:val="20"/>
    </w:rPr>
  </w:style>
  <w:style w:type="character" w:styleId="953" w:customStyle="1">
    <w:name w:val="Endnote Text Char"/>
    <w:uiPriority w:val="99"/>
    <w:rPr>
      <w:sz w:val="20"/>
    </w:rPr>
  </w:style>
  <w:style w:type="character" w:styleId="954">
    <w:name w:val="endnote reference"/>
    <w:uiPriority w:val="99"/>
    <w:semiHidden/>
    <w:unhideWhenUsed/>
    <w:rPr>
      <w:vertAlign w:val="superscript"/>
    </w:rPr>
  </w:style>
  <w:style w:type="paragraph" w:styleId="955">
    <w:name w:val="toc 1"/>
    <w:basedOn w:val="771"/>
    <w:next w:val="771"/>
    <w:uiPriority w:val="39"/>
    <w:unhideWhenUsed/>
    <w:pPr>
      <w:spacing w:after="57"/>
    </w:pPr>
  </w:style>
  <w:style w:type="paragraph" w:styleId="956">
    <w:name w:val="toc 2"/>
    <w:basedOn w:val="771"/>
    <w:next w:val="771"/>
    <w:uiPriority w:val="39"/>
    <w:unhideWhenUsed/>
    <w:pPr>
      <w:ind w:left="283"/>
      <w:spacing w:after="57"/>
    </w:pPr>
  </w:style>
  <w:style w:type="paragraph" w:styleId="957">
    <w:name w:val="toc 3"/>
    <w:basedOn w:val="771"/>
    <w:next w:val="771"/>
    <w:uiPriority w:val="39"/>
    <w:unhideWhenUsed/>
    <w:pPr>
      <w:ind w:left="567"/>
      <w:spacing w:after="57"/>
    </w:pPr>
  </w:style>
  <w:style w:type="paragraph" w:styleId="958">
    <w:name w:val="toc 4"/>
    <w:basedOn w:val="771"/>
    <w:next w:val="771"/>
    <w:uiPriority w:val="39"/>
    <w:unhideWhenUsed/>
    <w:pPr>
      <w:ind w:left="850"/>
      <w:spacing w:after="57"/>
    </w:pPr>
  </w:style>
  <w:style w:type="paragraph" w:styleId="959">
    <w:name w:val="toc 5"/>
    <w:basedOn w:val="771"/>
    <w:next w:val="771"/>
    <w:uiPriority w:val="39"/>
    <w:unhideWhenUsed/>
    <w:pPr>
      <w:ind w:left="1134"/>
      <w:spacing w:after="57"/>
    </w:pPr>
  </w:style>
  <w:style w:type="paragraph" w:styleId="960">
    <w:name w:val="toc 6"/>
    <w:basedOn w:val="771"/>
    <w:next w:val="771"/>
    <w:uiPriority w:val="39"/>
    <w:unhideWhenUsed/>
    <w:pPr>
      <w:ind w:left="1417"/>
      <w:spacing w:after="57"/>
    </w:pPr>
  </w:style>
  <w:style w:type="paragraph" w:styleId="961">
    <w:name w:val="toc 7"/>
    <w:basedOn w:val="771"/>
    <w:next w:val="771"/>
    <w:uiPriority w:val="39"/>
    <w:unhideWhenUsed/>
    <w:pPr>
      <w:ind w:left="1701"/>
      <w:spacing w:after="57"/>
    </w:pPr>
  </w:style>
  <w:style w:type="paragraph" w:styleId="962">
    <w:name w:val="toc 8"/>
    <w:basedOn w:val="771"/>
    <w:next w:val="771"/>
    <w:uiPriority w:val="39"/>
    <w:unhideWhenUsed/>
    <w:pPr>
      <w:ind w:left="1984"/>
      <w:spacing w:after="57"/>
    </w:pPr>
  </w:style>
  <w:style w:type="paragraph" w:styleId="963">
    <w:name w:val="toc 9"/>
    <w:basedOn w:val="771"/>
    <w:next w:val="771"/>
    <w:uiPriority w:val="39"/>
    <w:unhideWhenUsed/>
    <w:pPr>
      <w:ind w:left="2268"/>
      <w:spacing w:after="57"/>
    </w:pPr>
  </w:style>
  <w:style w:type="paragraph" w:styleId="964">
    <w:name w:val="TOC Heading"/>
    <w:uiPriority w:val="39"/>
    <w:unhideWhenUsed/>
  </w:style>
  <w:style w:type="paragraph" w:styleId="965">
    <w:name w:val="table of figures"/>
    <w:basedOn w:val="771"/>
    <w:next w:val="771"/>
    <w:uiPriority w:val="99"/>
    <w:unhideWhenUsed/>
  </w:style>
  <w:style w:type="paragraph" w:styleId="966" w:customStyle="1">
    <w:name w:val="ук-пр-рекви1"/>
    <w:basedOn w:val="771"/>
    <w:pPr>
      <w:jc w:val="center"/>
      <w:spacing w:line="204" w:lineRule="auto"/>
    </w:pPr>
    <w:rPr>
      <w:sz w:val="24"/>
      <w:szCs w:val="20"/>
    </w:rPr>
  </w:style>
  <w:style w:type="paragraph" w:styleId="967" w:customStyle="1">
    <w:name w:val="ук-наименование"/>
    <w:basedOn w:val="771"/>
    <w:pPr>
      <w:ind w:right="5395"/>
    </w:pPr>
    <w:rPr>
      <w:sz w:val="24"/>
      <w:szCs w:val="20"/>
    </w:rPr>
  </w:style>
  <w:style w:type="paragraph" w:styleId="968" w:customStyle="1">
    <w:name w:val="ук-заголовое-приложение"/>
    <w:basedOn w:val="771"/>
    <w:pPr>
      <w:contextualSpacing/>
      <w:ind w:left="3419"/>
      <w:jc w:val="right"/>
      <w:spacing w:after="400"/>
    </w:pPr>
    <w:rPr>
      <w:szCs w:val="20"/>
    </w:rPr>
  </w:style>
  <w:style w:type="paragraph" w:styleId="969" w:customStyle="1">
    <w:name w:val="ук-пи-кому"/>
    <w:basedOn w:val="967"/>
    <w:pPr>
      <w:ind w:right="-5"/>
    </w:pPr>
  </w:style>
  <w:style w:type="paragraph" w:styleId="970" w:customStyle="1">
    <w:name w:val="ук-пи-рекви2"/>
    <w:basedOn w:val="966"/>
    <w:pPr>
      <w:jc w:val="left"/>
    </w:pPr>
    <w:rPr>
      <w:rFonts w:ascii="Verdana" w:hAnsi="Verdana"/>
      <w:sz w:val="14"/>
      <w:szCs w:val="14"/>
    </w:rPr>
  </w:style>
  <w:style w:type="paragraph" w:styleId="971">
    <w:name w:val="Balloon Text"/>
    <w:basedOn w:val="771"/>
    <w:link w:val="972"/>
    <w:uiPriority w:val="99"/>
    <w:semiHidden/>
    <w:unhideWhenUsed/>
    <w:rPr>
      <w:rFonts w:ascii="Tahoma" w:hAnsi="Tahoma" w:cs="Tahoma"/>
      <w:sz w:val="16"/>
      <w:szCs w:val="16"/>
    </w:rPr>
  </w:style>
  <w:style w:type="character" w:styleId="972" w:customStyle="1">
    <w:name w:val="Текст выноски Знак"/>
    <w:link w:val="97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973">
    <w:name w:val="annotation reference"/>
    <w:uiPriority w:val="99"/>
    <w:semiHidden/>
    <w:unhideWhenUsed/>
    <w:rPr>
      <w:sz w:val="16"/>
      <w:szCs w:val="16"/>
    </w:rPr>
  </w:style>
  <w:style w:type="paragraph" w:styleId="974">
    <w:name w:val="annotation text"/>
    <w:basedOn w:val="771"/>
    <w:link w:val="975"/>
    <w:uiPriority w:val="99"/>
    <w:semiHidden/>
    <w:unhideWhenUsed/>
    <w:rPr>
      <w:sz w:val="20"/>
      <w:szCs w:val="20"/>
    </w:rPr>
  </w:style>
  <w:style w:type="character" w:styleId="975" w:customStyle="1">
    <w:name w:val="Текст примечания Знак"/>
    <w:link w:val="97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6">
    <w:name w:val="annotation subject"/>
    <w:basedOn w:val="974"/>
    <w:next w:val="974"/>
    <w:link w:val="977"/>
    <w:uiPriority w:val="99"/>
    <w:semiHidden/>
    <w:unhideWhenUsed/>
    <w:rPr>
      <w:b/>
      <w:bCs/>
    </w:rPr>
  </w:style>
  <w:style w:type="character" w:styleId="977" w:customStyle="1">
    <w:name w:val="Тема примечания Знак"/>
    <w:link w:val="97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78">
    <w:name w:val="Revision"/>
    <w:hidden/>
    <w:uiPriority w:val="99"/>
    <w:semiHidden/>
    <w:rPr>
      <w:rFonts w:ascii="Times New Roman" w:hAnsi="Times New Roman" w:eastAsia="Times New Roman"/>
      <w:sz w:val="28"/>
      <w:szCs w:val="28"/>
      <w:lang w:eastAsia="ru-RU"/>
    </w:rPr>
  </w:style>
  <w:style w:type="character" w:styleId="979" w:customStyle="1">
    <w:name w:val="Верхний колонтитул Знак"/>
    <w:link w:val="81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80" w:customStyle="1">
    <w:name w:val="Нижний колонтитул Знак"/>
    <w:link w:val="81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81" w:customStyle="1">
    <w:name w:val="ук-подпись/табл"/>
    <w:basedOn w:val="771"/>
    <w:pPr>
      <w:jc w:val="both"/>
      <w:spacing w:after="120"/>
    </w:pPr>
    <w:rPr>
      <w:szCs w:val="20"/>
    </w:rPr>
  </w:style>
  <w:style w:type="paragraph" w:styleId="982" w:customStyle="1">
    <w:name w:val="ук-пи-обращение"/>
    <w:basedOn w:val="771"/>
    <w:pPr>
      <w:ind w:firstLine="720"/>
      <w:jc w:val="center"/>
      <w:spacing w:after="120"/>
    </w:pPr>
    <w:rPr>
      <w:szCs w:val="20"/>
    </w:rPr>
  </w:style>
  <w:style w:type="paragraph" w:styleId="983" w:customStyle="1">
    <w:name w:val="Default"/>
    <w:rPr>
      <w:rFonts w:ascii="Times New Roman" w:hAnsi="Times New Roman"/>
      <w:color w:val="000000"/>
      <w:sz w:val="24"/>
      <w:szCs w:val="24"/>
      <w:lang w:eastAsia="ru-RU"/>
    </w:rPr>
  </w:style>
  <w:style w:type="character" w:styleId="984" w:customStyle="1">
    <w:name w:val="Текст сноски Знак"/>
    <w:link w:val="949"/>
    <w:uiPriority w:val="99"/>
    <w:semiHidden/>
    <w:rPr>
      <w:rFonts w:ascii="Times New Roman" w:hAnsi="Times New Roman" w:eastAsia="Times New Roman"/>
    </w:rPr>
  </w:style>
  <w:style w:type="character" w:styleId="985" w:customStyle="1">
    <w:name w:val="Текст концевой сноски Знак"/>
    <w:link w:val="952"/>
    <w:uiPriority w:val="99"/>
    <w:semiHidden/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Татьяна</dc:creator>
  <cp:revision>26</cp:revision>
  <dcterms:created xsi:type="dcterms:W3CDTF">2023-07-12T14:37:00Z</dcterms:created>
  <dcterms:modified xsi:type="dcterms:W3CDTF">2024-03-07T04:15:27Z</dcterms:modified>
  <cp:version>1048576</cp:version>
</cp:coreProperties>
</file>